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Garamond" w:cs="Garamond" w:eastAsia="Garamond" w:hAnsi="Garamond"/>
          <w:sz w:val="18"/>
          <w:szCs w:val="18"/>
        </w:rPr>
      </w:pPr>
      <w:bookmarkStart w:colFirst="0" w:colLast="0" w:name="_gjdgxs" w:id="0"/>
      <w:bookmarkEnd w:id="0"/>
      <w:r w:rsidDel="00000000" w:rsidR="00000000" w:rsidRPr="00000000">
        <w:rPr>
          <w:rFonts w:ascii="Times New Roman" w:cs="Times New Roman" w:eastAsia="Times New Roman" w:hAnsi="Times New Roman"/>
          <w:sz w:val="24"/>
          <w:szCs w:val="24"/>
        </w:rPr>
        <w:drawing>
          <wp:inline distB="0" distT="0" distL="0" distR="0">
            <wp:extent cx="1057275" cy="885825"/>
            <wp:effectExtent b="0" l="0" r="0" t="0"/>
            <wp:docPr id="1" name="image1.png"/>
            <a:graphic>
              <a:graphicData uri="http://schemas.openxmlformats.org/drawingml/2006/picture">
                <pic:pic>
                  <pic:nvPicPr>
                    <pic:cNvPr id="0" name="image1.png"/>
                    <pic:cNvPicPr preferRelativeResize="0"/>
                  </pic:nvPicPr>
                  <pic:blipFill>
                    <a:blip r:embed="rId6"/>
                    <a:srcRect b="-34" l="-27" r="-27" t="-34"/>
                    <a:stretch>
                      <a:fillRect/>
                    </a:stretch>
                  </pic:blipFill>
                  <pic:spPr>
                    <a:xfrm>
                      <a:off x="0" y="0"/>
                      <a:ext cx="105727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rPr>
          <w:rFonts w:ascii="Garamond" w:cs="Garamond" w:eastAsia="Garamond" w:hAnsi="Garamond"/>
          <w:sz w:val="18"/>
          <w:szCs w:val="18"/>
        </w:rPr>
      </w:pPr>
      <w:r w:rsidDel="00000000" w:rsidR="00000000" w:rsidRPr="00000000">
        <w:rPr>
          <w:rFonts w:ascii="Garamond" w:cs="Garamond" w:eastAsia="Garamond" w:hAnsi="Garamond"/>
          <w:sz w:val="18"/>
          <w:szCs w:val="18"/>
          <w:rtl w:val="0"/>
        </w:rPr>
        <w:t xml:space="preserve">Psychologues et Santé en Essonne</w:t>
      </w:r>
    </w:p>
    <w:p w:rsidR="00000000" w:rsidDel="00000000" w:rsidP="00000000" w:rsidRDefault="00000000" w:rsidRPr="00000000" w14:paraId="0000000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pageBreakBefore w:val="0"/>
        <w:pBdr>
          <w:top w:color="000000" w:space="1" w:sz="4" w:val="single"/>
          <w:left w:color="000000" w:space="4" w:sz="4" w:val="single"/>
          <w:bottom w:color="000000" w:space="1" w:sz="4" w:val="single"/>
          <w:right w:color="000000" w:space="4" w:sz="4" w:val="single"/>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Réunion Bureau du 2 Octobre 2020</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Étaient présentes</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0A">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Mina JACOBSON, Sabrina GIRARD, Laurence PROUST, </w:t>
      </w:r>
      <w:r w:rsidDel="00000000" w:rsidR="00000000" w:rsidRPr="00000000">
        <w:rPr>
          <w:rFonts w:ascii="Times New Roman" w:cs="Times New Roman" w:eastAsia="Times New Roman" w:hAnsi="Times New Roman"/>
          <w:rtl w:val="0"/>
        </w:rPr>
        <w:t xml:space="preserve">Sandrine GAHERY.</w:t>
      </w:r>
      <w:r w:rsidDel="00000000" w:rsidR="00000000" w:rsidRPr="00000000">
        <w:rPr>
          <w:rtl w:val="0"/>
        </w:rPr>
      </w:r>
    </w:p>
    <w:p w:rsidR="00000000" w:rsidDel="00000000" w:rsidP="00000000" w:rsidRDefault="00000000" w:rsidRPr="00000000" w14:paraId="0000000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Ordre du jour</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0D">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Etat des lieux de l’association</w:t>
      </w:r>
    </w:p>
    <w:p w:rsidR="00000000" w:rsidDel="00000000" w:rsidP="00000000" w:rsidRDefault="00000000" w:rsidRPr="00000000" w14:paraId="0000000E">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Mise à jour du site internet</w:t>
      </w:r>
    </w:p>
    <w:p w:rsidR="00000000" w:rsidDel="00000000" w:rsidP="00000000" w:rsidRDefault="00000000" w:rsidRPr="00000000" w14:paraId="0000000F">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Préparation de l’Assemblée Générale et de la journée Inter-ateliers</w:t>
      </w:r>
    </w:p>
    <w:p w:rsidR="00000000" w:rsidDel="00000000" w:rsidP="00000000" w:rsidRDefault="00000000" w:rsidRPr="00000000" w14:paraId="00000010">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Discussion autour de nouveaux projets pour l’association</w:t>
      </w:r>
      <w:r w:rsidDel="00000000" w:rsidR="00000000" w:rsidRPr="00000000">
        <w:rPr>
          <w:rtl w:val="0"/>
        </w:rPr>
      </w:r>
    </w:p>
    <w:p w:rsidR="00000000" w:rsidDel="00000000" w:rsidP="00000000" w:rsidRDefault="00000000" w:rsidRPr="00000000" w14:paraId="00000011">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Lieu de la réunion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rtl w:val="0"/>
        </w:rPr>
        <w:t xml:space="preserve">au domicile de Mina JACOBSON</w:t>
      </w:r>
      <w:r w:rsidDel="00000000" w:rsidR="00000000" w:rsidRPr="00000000">
        <w:rPr>
          <w:rtl w:val="0"/>
        </w:rPr>
      </w:r>
    </w:p>
    <w:p w:rsidR="00000000" w:rsidDel="00000000" w:rsidP="00000000" w:rsidRDefault="00000000" w:rsidRPr="00000000" w14:paraId="00000014">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5">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Durée de la réunion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rtl w:val="0"/>
        </w:rPr>
        <w:t xml:space="preserve">19h à 23h</w:t>
      </w:r>
      <w:r w:rsidDel="00000000" w:rsidR="00000000" w:rsidRPr="00000000">
        <w:rPr>
          <w:rtl w:val="0"/>
        </w:rPr>
      </w:r>
    </w:p>
    <w:p w:rsidR="00000000" w:rsidDel="00000000" w:rsidP="00000000" w:rsidRDefault="00000000" w:rsidRPr="00000000" w14:paraId="00000016">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pBdr>
          <w:top w:color="000000" w:space="0" w:sz="0" w:val="none"/>
          <w:left w:color="000000" w:space="0" w:sz="0" w:val="none"/>
          <w:bottom w:color="000000" w:space="1" w:sz="8" w:val="single"/>
          <w:right w:color="000000" w:space="0" w:sz="0" w:val="non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numPr>
          <w:ilvl w:val="0"/>
          <w:numId w:val="2"/>
        </w:numPr>
        <w:spacing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u w:val="single"/>
          <w:rtl w:val="0"/>
        </w:rPr>
        <w:t xml:space="preserve">Etat des lieux de l’association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pageBreakBefore w:val="0"/>
        <w:spacing w:line="360" w:lineRule="auto"/>
        <w:ind w:left="360" w:firstLine="3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L’association comptabilise 3 nouvelles adhésions pour 2020 dont deux souhaiteraient rejoindre l’atelier libéral et une souhaiterait voir mis en place un atelier autour de la périnatalité.</w:t>
      </w:r>
    </w:p>
    <w:p w:rsidR="00000000" w:rsidDel="00000000" w:rsidP="00000000" w:rsidRDefault="00000000" w:rsidRPr="00000000" w14:paraId="0000001D">
      <w:pPr>
        <w:pageBreakBefore w:val="0"/>
        <w:spacing w:line="360" w:lineRule="auto"/>
        <w:ind w:left="360" w:firstLine="3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Bureau a réfléchi sur la manière de promouvoir l’association afin d’attirer de nouvelles personnes (</w:t>
      </w:r>
      <w:r w:rsidDel="00000000" w:rsidR="00000000" w:rsidRPr="00000000">
        <w:rPr>
          <w:rFonts w:ascii="Times New Roman" w:cs="Times New Roman" w:eastAsia="Times New Roman" w:hAnsi="Times New Roman"/>
          <w:i w:val="1"/>
          <w:iCs w:val="1"/>
          <w:sz w:val="24"/>
          <w:szCs w:val="24"/>
          <w:rtl w:val="0"/>
        </w:rPr>
        <w:t xml:space="preserve">cf nouveaux projets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pageBreakBefore w:val="0"/>
        <w:spacing w:line="360" w:lineRule="auto"/>
        <w:ind w:left="360" w:firstLine="3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plus, le Bureau a décidé de maintenir la domiciliation de l’association à Longjumeau, après prospection dans d’autres communes. L’objectif était de trouver une commune qui serait en mesure de nous prêter des salles de façon régulière et récurrente (</w:t>
      </w:r>
      <w:r w:rsidDel="00000000" w:rsidR="00000000" w:rsidRPr="00000000">
        <w:rPr>
          <w:rFonts w:ascii="Times New Roman" w:cs="Times New Roman" w:eastAsia="Times New Roman" w:hAnsi="Times New Roman"/>
          <w:i w:val="1"/>
          <w:iCs w:val="1"/>
          <w:sz w:val="24"/>
          <w:szCs w:val="24"/>
          <w:rtl w:val="0"/>
        </w:rPr>
        <w:t xml:space="preserve">cf nouveaux projets</w:t>
      </w:r>
      <w:r w:rsidDel="00000000" w:rsidR="00000000" w:rsidRPr="00000000">
        <w:rPr>
          <w:rFonts w:ascii="Times New Roman" w:cs="Times New Roman" w:eastAsia="Times New Roman" w:hAnsi="Times New Roman"/>
          <w:sz w:val="24"/>
          <w:szCs w:val="24"/>
          <w:rtl w:val="0"/>
        </w:rPr>
        <w:t xml:space="preserve">). En plus de la ville de Longjumeau, nous avons aussi la possibilité de demander une salle sur la commune de Mennecy.</w:t>
      </w:r>
    </w:p>
    <w:p w:rsidR="00000000" w:rsidDel="00000000" w:rsidP="00000000" w:rsidRDefault="00000000" w:rsidRPr="00000000" w14:paraId="0000001F">
      <w:pPr>
        <w:pageBreakBefore w:val="0"/>
        <w:spacing w:line="360" w:lineRule="auto"/>
        <w:ind w:left="360" w:firstLine="34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line="360" w:lineRule="auto"/>
        <w:ind w:left="360" w:firstLine="34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numPr>
          <w:ilvl w:val="0"/>
          <w:numId w:val="1"/>
        </w:numPr>
        <w:spacing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u w:val="single"/>
          <w:rtl w:val="0"/>
        </w:rPr>
        <w:t xml:space="preserve">Mise à jour du site internet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pageBreakBefore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 document sur le temps FIR a été ajouté sur le site internet. Celui-ci sera compléter par des informations sur le FIFPL qui un organisme d’aide à la formation pour les professions libérales.</w:t>
      </w:r>
    </w:p>
    <w:p w:rsidR="00000000" w:rsidDel="00000000" w:rsidP="00000000" w:rsidRDefault="00000000" w:rsidRPr="00000000" w14:paraId="00000023">
      <w:pPr>
        <w:pageBreakBefore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Préparation de l’Assemblée Générale et la journée Inter-ateliers:</w:t>
      </w:r>
    </w:p>
    <w:p w:rsidR="00000000" w:rsidDel="00000000" w:rsidP="00000000" w:rsidRDefault="00000000" w:rsidRPr="00000000" w14:paraId="00000026">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Le Bureau a fixé la date pour l’Assemblée Générale au 6 mars 2021. </w:t>
      </w:r>
    </w:p>
    <w:p w:rsidR="00000000" w:rsidDel="00000000" w:rsidP="00000000" w:rsidRDefault="00000000" w:rsidRPr="00000000" w14:paraId="0000002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a été décidé que la journée Inter-ateliers se tiendra sur un autre jour dont la date n’a pas encore été fixée mais a été réfléchie en fin d’année scolaire. Le Bureau continue à élaborer sur la forme que prendra cette journée, ainsi que du contenu.</w:t>
      </w:r>
    </w:p>
    <w:p w:rsidR="00000000" w:rsidDel="00000000" w:rsidP="00000000" w:rsidRDefault="00000000" w:rsidRPr="00000000" w14:paraId="0000002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Discussion autour de nouveaux projets:</w:t>
      </w:r>
    </w:p>
    <w:p w:rsidR="00000000" w:rsidDel="00000000" w:rsidP="00000000" w:rsidRDefault="00000000" w:rsidRPr="00000000" w14:paraId="0000002B">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 Bureau a pris connaissance d’une volonté de créer un nouvel atelier autour de la périnatalité. Nous avons donc décidé de mettre en relation les personnes concernées ainsi que l’envoi d’un courriel informatif.</w:t>
      </w:r>
    </w:p>
    <w:p w:rsidR="00000000" w:rsidDel="00000000" w:rsidP="00000000" w:rsidRDefault="00000000" w:rsidRPr="00000000" w14:paraId="0000002C">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 Bureau discute autour de la création de séminaire que nous voudrions mettre en place un soir par mois. Nous réfléchissons sur la forme et le fond de ce projet. Dans ce cadre, nous échangeons sur le fait de pouvoir remanier le concept du Psycho-Thé, déjà existant mais peu vivant.</w:t>
      </w:r>
    </w:p>
    <w:p w:rsidR="00000000" w:rsidDel="00000000" w:rsidP="00000000" w:rsidRDefault="00000000" w:rsidRPr="00000000" w14:paraId="0000002D">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Nous voudrions que ce projet puisse voir le jour à partir de Septembre 2021.</w:t>
      </w:r>
    </w:p>
    <w:p w:rsidR="00000000" w:rsidDel="00000000" w:rsidP="00000000" w:rsidRDefault="00000000" w:rsidRPr="00000000" w14:paraId="0000002E">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F">
      <w:pPr>
        <w:pageBreakBefore w:val="0"/>
        <w:spacing w:line="360" w:lineRule="auto"/>
        <w:ind w:left="360" w:firstLine="34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spacing w:line="360" w:lineRule="auto"/>
        <w:ind w:left="360" w:firstLine="34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spacing w:line="360" w:lineRule="auto"/>
        <w:jc w:val="both"/>
        <w:rPr>
          <w:rFonts w:ascii="Times New Roman" w:cs="Times New Roman" w:eastAsia="Times New Roman" w:hAnsi="Times New Roman"/>
          <w:color w:val="ce181e"/>
          <w:sz w:val="24"/>
          <w:szCs w:val="24"/>
          <w:u w:val="single"/>
        </w:rPr>
      </w:pPr>
      <w:r w:rsidDel="00000000" w:rsidR="00000000" w:rsidRPr="00000000">
        <w:rPr>
          <w:rtl w:val="0"/>
        </w:rPr>
      </w:r>
    </w:p>
    <w:p w:rsidR="00000000" w:rsidDel="00000000" w:rsidP="00000000" w:rsidRDefault="00000000" w:rsidRPr="00000000" w14:paraId="0000003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Prochaine réunion de Bureau</w:t>
      </w:r>
      <w:r w:rsidDel="00000000" w:rsidR="00000000" w:rsidRPr="00000000">
        <w:rPr>
          <w:rFonts w:ascii="Times New Roman" w:cs="Times New Roman" w:eastAsia="Times New Roman" w:hAnsi="Times New Roman"/>
          <w:sz w:val="24"/>
          <w:szCs w:val="24"/>
          <w:rtl w:val="0"/>
        </w:rPr>
        <w:t xml:space="preserve"> : à définir</w:t>
      </w:r>
    </w:p>
    <w:p w:rsidR="00000000" w:rsidDel="00000000" w:rsidP="00000000" w:rsidRDefault="00000000" w:rsidRPr="00000000" w14:paraId="00000034">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spacing w:line="360"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7">
      <w:pPr>
        <w:pageBreakBefore w:val="0"/>
        <w:spacing w:line="36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Sandrine GAHERY, </w:t>
      </w:r>
    </w:p>
    <w:p w:rsidR="00000000" w:rsidDel="00000000" w:rsidP="00000000" w:rsidRDefault="00000000" w:rsidRPr="00000000" w14:paraId="00000038">
      <w:pPr>
        <w:pageBreakBefore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Secrétaire adjointe</w:t>
      </w: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
      <w:lvlJc w:val="left"/>
      <w:pPr>
        <w:ind w:left="1080" w:hanging="360"/>
      </w:pPr>
      <w:rPr>
        <w:rFonts w:ascii="Noto Sans Symbols" w:cs="Noto Sans Symbols" w:eastAsia="Noto Sans Symbols" w:hAnsi="Noto Sans Symbols"/>
        <w:sz w:val="22"/>
        <w:szCs w:val="22"/>
      </w:rPr>
    </w:lvl>
    <w:lvl w:ilvl="2">
      <w:start w:val="1"/>
      <w:numFmt w:val="bullet"/>
      <w:lvlText w:val="−"/>
      <w:lvlJc w:val="left"/>
      <w:pPr>
        <w:ind w:left="1440" w:hanging="360"/>
      </w:pPr>
      <w:rPr>
        <w:rFonts w:ascii="Noto Sans Symbols" w:cs="Noto Sans Symbols" w:eastAsia="Noto Sans Symbols" w:hAnsi="Noto Sans Symbols"/>
        <w:sz w:val="22"/>
        <w:szCs w:val="22"/>
      </w:rPr>
    </w:lvl>
    <w:lvl w:ilvl="3">
      <w:start w:val="1"/>
      <w:numFmt w:val="bullet"/>
      <w:lvlText w:val="−"/>
      <w:lvlJc w:val="left"/>
      <w:pPr>
        <w:ind w:left="1800" w:hanging="360"/>
      </w:pPr>
      <w:rPr>
        <w:rFonts w:ascii="Noto Sans Symbols" w:cs="Noto Sans Symbols" w:eastAsia="Noto Sans Symbols" w:hAnsi="Noto Sans Symbols"/>
        <w:sz w:val="22"/>
        <w:szCs w:val="22"/>
      </w:rPr>
    </w:lvl>
    <w:lvl w:ilvl="4">
      <w:start w:val="1"/>
      <w:numFmt w:val="bullet"/>
      <w:lvlText w:val="−"/>
      <w:lvlJc w:val="left"/>
      <w:pPr>
        <w:ind w:left="2160" w:hanging="360"/>
      </w:pPr>
      <w:rPr>
        <w:rFonts w:ascii="Noto Sans Symbols" w:cs="Noto Sans Symbols" w:eastAsia="Noto Sans Symbols" w:hAnsi="Noto Sans Symbols"/>
        <w:sz w:val="22"/>
        <w:szCs w:val="22"/>
      </w:rPr>
    </w:lvl>
    <w:lvl w:ilvl="5">
      <w:start w:val="1"/>
      <w:numFmt w:val="bullet"/>
      <w:lvlText w:val="−"/>
      <w:lvlJc w:val="left"/>
      <w:pPr>
        <w:ind w:left="2520" w:hanging="360"/>
      </w:pPr>
      <w:rPr>
        <w:rFonts w:ascii="Noto Sans Symbols" w:cs="Noto Sans Symbols" w:eastAsia="Noto Sans Symbols" w:hAnsi="Noto Sans Symbols"/>
        <w:sz w:val="22"/>
        <w:szCs w:val="22"/>
      </w:rPr>
    </w:lvl>
    <w:lvl w:ilvl="6">
      <w:start w:val="1"/>
      <w:numFmt w:val="bullet"/>
      <w:lvlText w:val="−"/>
      <w:lvlJc w:val="left"/>
      <w:pPr>
        <w:ind w:left="2880" w:hanging="360"/>
      </w:pPr>
      <w:rPr>
        <w:rFonts w:ascii="Noto Sans Symbols" w:cs="Noto Sans Symbols" w:eastAsia="Noto Sans Symbols" w:hAnsi="Noto Sans Symbols"/>
        <w:sz w:val="22"/>
        <w:szCs w:val="22"/>
      </w:rPr>
    </w:lvl>
    <w:lvl w:ilvl="7">
      <w:start w:val="1"/>
      <w:numFmt w:val="bullet"/>
      <w:lvlText w:val="−"/>
      <w:lvlJc w:val="left"/>
      <w:pPr>
        <w:ind w:left="3240" w:hanging="360"/>
      </w:pPr>
      <w:rPr>
        <w:rFonts w:ascii="Noto Sans Symbols" w:cs="Noto Sans Symbols" w:eastAsia="Noto Sans Symbols" w:hAnsi="Noto Sans Symbols"/>
        <w:sz w:val="22"/>
        <w:szCs w:val="22"/>
      </w:rPr>
    </w:lvl>
    <w:lvl w:ilvl="8">
      <w:start w:val="1"/>
      <w:numFmt w:val="bullet"/>
      <w:lvlText w:val="−"/>
      <w:lvlJc w:val="left"/>
      <w:pPr>
        <w:ind w:left="3600" w:hanging="360"/>
      </w:pPr>
      <w:rPr>
        <w:rFonts w:ascii="Noto Sans Symbols" w:cs="Noto Sans Symbols" w:eastAsia="Noto Sans Symbols" w:hAnsi="Noto Sans Symbols"/>
        <w:sz w:val="22"/>
        <w:szCs w:val="22"/>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